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32FCF">
      <w:pPr>
        <w:ind w:firstLine="428"/>
        <w:rPr>
          <w:rFonts w:hint="default" w:ascii="Minion Pro" w:hAnsi="Minion Pro" w:eastAsia="宋体" w:cs="Minion Pro"/>
          <w:b/>
          <w:bCs/>
          <w:color w:val="auto"/>
          <w:highlight w:val="none"/>
          <w:lang w:val="en-US" w:eastAsia="zh-CN"/>
        </w:rPr>
      </w:pPr>
      <w:r>
        <w:rPr>
          <w:rFonts w:hint="eastAsia" w:ascii="Minion Pro" w:hAnsi="Minion Pro" w:cs="Minion Pro"/>
          <w:b/>
          <w:bCs/>
          <w:color w:val="auto"/>
          <w:highlight w:val="none"/>
          <w:lang w:val="en-US" w:eastAsia="zh-CN"/>
        </w:rPr>
        <w:t>Figure Legend：</w:t>
      </w:r>
    </w:p>
    <w:p w14:paraId="1151A0D8">
      <w:pPr>
        <w:ind w:firstLine="428"/>
        <w:rPr>
          <w:rFonts w:hint="eastAsia" w:ascii="Minion Pro" w:hAnsi="Minion Pro" w:cs="Minion Pro"/>
          <w:b/>
          <w:bCs/>
          <w:color w:val="auto"/>
          <w:highlight w:val="none"/>
        </w:rPr>
      </w:pPr>
    </w:p>
    <w:p w14:paraId="1B7EC797">
      <w:pPr>
        <w:ind w:firstLine="428"/>
        <w:rPr>
          <w:rFonts w:ascii="Minion Pro" w:hAnsi="Minion Pro" w:cs="Minion Pro"/>
          <w:b/>
          <w:bCs/>
          <w:color w:val="auto"/>
          <w:highlight w:val="none"/>
        </w:rPr>
      </w:pPr>
      <w:r>
        <w:rPr>
          <w:rFonts w:hint="eastAsia" w:ascii="Minion Pro" w:hAnsi="Minion Pro" w:cs="Minion Pro"/>
          <w:b/>
          <w:bCs/>
          <w:color w:val="auto"/>
          <w:highlight w:val="none"/>
        </w:rPr>
        <w:t>F</w:t>
      </w:r>
      <w:r>
        <w:rPr>
          <w:rFonts w:ascii="Minion Pro" w:hAnsi="Minion Pro" w:cs="Minion Pro"/>
          <w:b/>
          <w:bCs/>
          <w:color w:val="auto"/>
          <w:highlight w:val="none"/>
        </w:rPr>
        <w:t>igure</w:t>
      </w:r>
      <w:r>
        <w:rPr>
          <w:rFonts w:hint="eastAsia" w:ascii="Minion Pro" w:hAnsi="Minion Pro" w:cs="Minion Pro"/>
          <w:b/>
          <w:bCs/>
          <w:color w:val="auto"/>
          <w:highlight w:val="none"/>
        </w:rPr>
        <w:t xml:space="preserve"> S</w:t>
      </w:r>
      <w:r>
        <w:rPr>
          <w:rFonts w:ascii="Minion Pro" w:hAnsi="Minion Pro" w:cs="Minion Pro"/>
          <w:b/>
          <w:bCs/>
          <w:color w:val="auto"/>
          <w:highlight w:val="none"/>
        </w:rPr>
        <w:t>1:</w:t>
      </w:r>
      <w:r>
        <w:rPr>
          <w:color w:val="auto"/>
          <w:highlight w:val="none"/>
        </w:rPr>
        <w:t xml:space="preserve"> </w:t>
      </w:r>
      <w:r>
        <w:rPr>
          <w:rFonts w:ascii="Minion Pro" w:hAnsi="Minion Pro" w:cs="Minion Pro"/>
          <w:color w:val="auto"/>
          <w:highlight w:val="none"/>
        </w:rPr>
        <w:t>HNRNPC has a close association with overall survival (OS) in various tumors.</w:t>
      </w:r>
      <w:r>
        <w:rPr>
          <w:rFonts w:ascii="Minion Pro" w:hAnsi="Minion Pro" w:cs="Minion Pro"/>
          <w:b/>
          <w:bCs/>
          <w:color w:val="auto"/>
          <w:highlight w:val="none"/>
        </w:rPr>
        <w:t xml:space="preserve"> (A-H): </w:t>
      </w:r>
      <w:r>
        <w:rPr>
          <w:rFonts w:ascii="Minion Pro" w:hAnsi="Minion Pro" w:cs="Minion Pro"/>
          <w:color w:val="auto"/>
          <w:highlight w:val="none"/>
        </w:rPr>
        <w:t>K</w:t>
      </w:r>
      <w:r>
        <w:rPr>
          <w:rFonts w:ascii="Minion Pro" w:hAnsi="Minion Pro" w:cs="Minion Pro"/>
          <w:color w:val="auto"/>
          <w:szCs w:val="21"/>
          <w:highlight w:val="none"/>
        </w:rPr>
        <w:t>aplan-Meier (</w:t>
      </w:r>
      <w:r>
        <w:rPr>
          <w:rFonts w:ascii="Minion Pro" w:hAnsi="Minion Pro" w:cs="Minion Pro"/>
          <w:b/>
          <w:bCs/>
          <w:color w:val="auto"/>
          <w:szCs w:val="21"/>
          <w:highlight w:val="none"/>
        </w:rPr>
        <w:t>KM</w:t>
      </w:r>
      <w:r>
        <w:rPr>
          <w:rFonts w:ascii="Minion Pro" w:hAnsi="Minion Pro" w:cs="Minion Pro"/>
          <w:color w:val="auto"/>
          <w:szCs w:val="21"/>
          <w:highlight w:val="none"/>
        </w:rPr>
        <w:t xml:space="preserve">): survival analysis further confirmed the association between HNRNPC and OS in HNSC, KIPAN, KIRC, KIRP, </w:t>
      </w:r>
      <w:bookmarkStart w:id="0" w:name="_GoBack"/>
      <w:bookmarkEnd w:id="0"/>
      <w:r>
        <w:rPr>
          <w:rFonts w:ascii="Minion Pro" w:hAnsi="Minion Pro" w:cs="Minion Pro"/>
          <w:color w:val="auto"/>
          <w:szCs w:val="21"/>
          <w:highlight w:val="none"/>
        </w:rPr>
        <w:t>LAML, SRAC, LUAD, and LIHC cancer types.</w:t>
      </w:r>
    </w:p>
    <w:p w14:paraId="69BBAF24">
      <w:pPr>
        <w:ind w:firstLine="420"/>
        <w:rPr>
          <w:rFonts w:ascii="Minion Pro" w:hAnsi="Minion Pro" w:cs="Minion Pro"/>
          <w:color w:val="auto"/>
          <w:highlight w:val="none"/>
        </w:rPr>
      </w:pPr>
    </w:p>
    <w:p w14:paraId="603AD643">
      <w:pPr>
        <w:ind w:firstLine="428"/>
        <w:rPr>
          <w:rFonts w:ascii="Minion Pro" w:hAnsi="Minion Pro" w:cs="Minion Pro"/>
          <w:b/>
          <w:bCs/>
          <w:color w:val="auto"/>
          <w:highlight w:val="none"/>
        </w:rPr>
      </w:pPr>
      <w:r>
        <w:rPr>
          <w:rFonts w:hint="eastAsia" w:ascii="Minion Pro" w:hAnsi="Minion Pro" w:cs="Minion Pro"/>
          <w:b/>
          <w:bCs/>
          <w:color w:val="auto"/>
          <w:highlight w:val="none"/>
        </w:rPr>
        <w:t>F</w:t>
      </w:r>
      <w:r>
        <w:rPr>
          <w:rFonts w:ascii="Minion Pro" w:hAnsi="Minion Pro" w:cs="Minion Pro"/>
          <w:b/>
          <w:bCs/>
          <w:color w:val="auto"/>
          <w:highlight w:val="none"/>
        </w:rPr>
        <w:t>igure</w:t>
      </w:r>
      <w:r>
        <w:rPr>
          <w:rFonts w:hint="eastAsia" w:ascii="Minion Pro" w:hAnsi="Minion Pro" w:cs="Minion Pro"/>
          <w:b/>
          <w:bCs/>
          <w:color w:val="auto"/>
          <w:highlight w:val="none"/>
        </w:rPr>
        <w:t xml:space="preserve"> </w:t>
      </w:r>
      <w:r>
        <w:rPr>
          <w:rFonts w:ascii="Minion Pro" w:hAnsi="Minion Pro" w:cs="Minion Pro"/>
          <w:b/>
          <w:bCs/>
          <w:color w:val="auto"/>
          <w:highlight w:val="none"/>
        </w:rPr>
        <w:t xml:space="preserve">S2: </w:t>
      </w:r>
      <w:r>
        <w:rPr>
          <w:rFonts w:ascii="Minion Pro" w:hAnsi="Minion Pro" w:cs="Minion Pro"/>
          <w:color w:val="auto"/>
          <w:szCs w:val="21"/>
          <w:highlight w:val="none"/>
        </w:rPr>
        <w:t>The close correlation between HNRNPC expression and immune infiltration</w:t>
      </w:r>
      <w:r>
        <w:rPr>
          <w:rFonts w:ascii="Minion Pro" w:hAnsi="Minion Pro" w:cs="Minion Pro"/>
          <w:b/>
          <w:bCs/>
          <w:color w:val="auto"/>
          <w:highlight w:val="none"/>
        </w:rPr>
        <w:t xml:space="preserve"> (A): </w:t>
      </w:r>
      <w:r>
        <w:rPr>
          <w:rFonts w:ascii="Minion Pro" w:hAnsi="Minion Pro" w:cs="Minion Pro"/>
          <w:color w:val="auto"/>
          <w:szCs w:val="21"/>
          <w:highlight w:val="none"/>
        </w:rPr>
        <w:t>The correlation between HNRNPC expression and StromalScore (</w:t>
      </w:r>
      <w:r>
        <w:rPr>
          <w:rFonts w:ascii="Minion Pro" w:hAnsi="Minion Pro" w:cs="Minion Pro"/>
          <w:b/>
          <w:bCs/>
          <w:color w:val="auto"/>
          <w:szCs w:val="21"/>
          <w:highlight w:val="none"/>
        </w:rPr>
        <w:t>B</w:t>
      </w:r>
      <w:r>
        <w:rPr>
          <w:rFonts w:ascii="Minion Pro" w:hAnsi="Minion Pro" w:cs="Minion Pro"/>
          <w:color w:val="auto"/>
          <w:szCs w:val="21"/>
          <w:highlight w:val="none"/>
        </w:rPr>
        <w:t xml:space="preserve">): The correlation between HNRNPC expression and StromalScore. </w:t>
      </w:r>
    </w:p>
    <w:p w14:paraId="4C3AAE8B">
      <w:pPr>
        <w:ind w:firstLine="420"/>
        <w:rPr>
          <w:rFonts w:ascii="Minion Pro" w:hAnsi="Minion Pro" w:cs="Minion Pro"/>
          <w:color w:val="auto"/>
          <w:highlight w:val="none"/>
        </w:rPr>
      </w:pPr>
    </w:p>
    <w:p w14:paraId="0246DB0C">
      <w:pPr>
        <w:ind w:firstLine="428"/>
        <w:rPr>
          <w:rFonts w:ascii="Minion Pro" w:hAnsi="Minion Pro" w:cs="Minion Pro"/>
          <w:b/>
          <w:bCs/>
          <w:color w:val="auto"/>
          <w:highlight w:val="none"/>
        </w:rPr>
      </w:pPr>
      <w:r>
        <w:rPr>
          <w:rFonts w:hint="eastAsia" w:ascii="Minion Pro" w:hAnsi="Minion Pro" w:cs="Minion Pro"/>
          <w:b/>
          <w:bCs/>
          <w:color w:val="auto"/>
          <w:highlight w:val="none"/>
        </w:rPr>
        <w:t>F</w:t>
      </w:r>
      <w:r>
        <w:rPr>
          <w:rFonts w:ascii="Minion Pro" w:hAnsi="Minion Pro" w:cs="Minion Pro"/>
          <w:b/>
          <w:bCs/>
          <w:color w:val="auto"/>
          <w:highlight w:val="none"/>
        </w:rPr>
        <w:t>igure</w:t>
      </w:r>
      <w:r>
        <w:rPr>
          <w:rFonts w:hint="eastAsia" w:ascii="Minion Pro" w:hAnsi="Minion Pro" w:cs="Minion Pro"/>
          <w:b/>
          <w:bCs/>
          <w:color w:val="auto"/>
          <w:highlight w:val="none"/>
        </w:rPr>
        <w:t xml:space="preserve"> </w:t>
      </w:r>
      <w:r>
        <w:rPr>
          <w:rFonts w:ascii="Minion Pro" w:hAnsi="Minion Pro" w:cs="Minion Pro"/>
          <w:b/>
          <w:bCs/>
          <w:color w:val="auto"/>
          <w:highlight w:val="none"/>
        </w:rPr>
        <w:t xml:space="preserve">S3: </w:t>
      </w:r>
      <w:r>
        <w:rPr>
          <w:rFonts w:ascii="Minion Pro" w:hAnsi="Minion Pro" w:cs="Minion Pro"/>
          <w:color w:val="auto"/>
          <w:szCs w:val="21"/>
          <w:highlight w:val="none"/>
        </w:rPr>
        <w:t>The correlation of HNRNPC with the level of immune infiltrating cells. (</w:t>
      </w:r>
      <w:r>
        <w:rPr>
          <w:rFonts w:ascii="Minion Pro" w:hAnsi="Minion Pro" w:cs="Minion Pro"/>
          <w:b/>
          <w:bCs/>
          <w:color w:val="auto"/>
          <w:szCs w:val="21"/>
          <w:highlight w:val="none"/>
        </w:rPr>
        <w:t>A-C</w:t>
      </w:r>
      <w:r>
        <w:rPr>
          <w:rFonts w:ascii="Minion Pro" w:hAnsi="Minion Pro" w:cs="Minion Pro"/>
          <w:color w:val="auto"/>
          <w:szCs w:val="21"/>
          <w:highlight w:val="none"/>
        </w:rPr>
        <w:t>): Revealing the correlation between HNRNPC and immune infiltration level in cancer through MCPcounter, EPIC and TIMER analysis.</w:t>
      </w:r>
    </w:p>
    <w:p w14:paraId="7501A932">
      <w:pPr>
        <w:ind w:right="210" w:firstLine="0" w:firstLineChars="0"/>
        <w:rPr>
          <w:rFonts w:ascii="Minion Pro" w:hAnsi="Minion Pro" w:cs="Minion Pro"/>
          <w:b/>
          <w:bCs/>
          <w:color w:val="auto"/>
          <w:sz w:val="28"/>
          <w:szCs w:val="28"/>
          <w:highlight w:val="none"/>
        </w:rPr>
      </w:pPr>
    </w:p>
    <w:p w14:paraId="35A32BDE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lnNumType w:countBy="1" w:restart="continuous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panose1 w:val="02040503050201020203"/>
    <w:charset w:val="00"/>
    <w:family w:val="roman"/>
    <w:pitch w:val="default"/>
    <w:sig w:usb0="E00002AF" w:usb1="5000205B" w:usb2="00000000" w:usb3="00000000" w:csb0="0000009F" w:csb1="00000000"/>
  </w:font>
  <w:font w:name="Helvetica-Bold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262143770"/>
    </w:sdtPr>
    <w:sdtEndPr>
      <w:rPr>
        <w:rStyle w:val="7"/>
      </w:rPr>
    </w:sdtEndPr>
    <w:sdtContent>
      <w:p w14:paraId="00F7AA79">
        <w:pPr>
          <w:pStyle w:val="3"/>
          <w:framePr w:wrap="auto" w:vAnchor="text" w:hAnchor="margin" w:xAlign="center" w:y="1"/>
          <w:ind w:right="210" w:firstLine="360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separate"/>
        </w:r>
        <w:r>
          <w:rPr>
            <w:rStyle w:val="7"/>
          </w:rPr>
          <w:t>1</w:t>
        </w:r>
        <w:r>
          <w:rPr>
            <w:rStyle w:val="7"/>
          </w:rPr>
          <w:fldChar w:fldCharType="end"/>
        </w:r>
      </w:p>
    </w:sdtContent>
  </w:sdt>
  <w:p w14:paraId="385387C6">
    <w:pPr>
      <w:pStyle w:val="3"/>
      <w:ind w:right="21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90627102"/>
    </w:sdtPr>
    <w:sdtEndPr>
      <w:rPr>
        <w:rStyle w:val="7"/>
      </w:rPr>
    </w:sdtEndPr>
    <w:sdtContent>
      <w:p w14:paraId="030BDAF4">
        <w:pPr>
          <w:pStyle w:val="3"/>
          <w:framePr w:wrap="auto" w:vAnchor="text" w:hAnchor="margin" w:xAlign="center" w:y="1"/>
          <w:ind w:firstLine="360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separate"/>
        </w:r>
        <w:r>
          <w:rPr>
            <w:rStyle w:val="7"/>
          </w:rPr>
          <w:t>1</w:t>
        </w:r>
        <w:r>
          <w:rPr>
            <w:rStyle w:val="7"/>
          </w:rPr>
          <w:fldChar w:fldCharType="end"/>
        </w:r>
      </w:p>
    </w:sdtContent>
  </w:sdt>
  <w:p w14:paraId="78DB6661">
    <w:pPr>
      <w:pStyle w:val="3"/>
      <w:ind w:right="21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B054A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1FBF5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D03A2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4660E">
    <w:pPr>
      <w:pStyle w:val="2"/>
      <w:tabs>
        <w:tab w:val="center" w:pos="4153"/>
        <w:tab w:val="right" w:pos="8306"/>
      </w:tabs>
      <w:ind w:left="2" w:leftChars="-5" w:hanging="12" w:hangingChars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mFmODQ1YWIwOTg1MjhlOTUyYjY3NDNjNjM1MDEifQ=="/>
  </w:docVars>
  <w:rsids>
    <w:rsidRoot w:val="49B55FC5"/>
    <w:rsid w:val="49B5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="Times New Roman" w:hAnsi="Times New Roman" w:eastAsia="宋体" w:cs="宋体"/>
      <w:color w:val="000000" w:themeColor="text1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2024-10-11T06:03:00Z</dcterms:created>
  <dc:creator>Mia</dc:creator>
  <cp:lastModifiedBy>Mia</cp:lastModifiedBy>
  <dcterms:modified xsi:type="dcterms:W3CDTF">2024-10-11T06:04:33Z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51827B7A499841B3B729D333379F9B5D_11</vt:lpwstr>
  </property>
</Properties>
</file>